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4A7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E30BD">
        <w:rPr>
          <w:rFonts w:eastAsia="標楷體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EC3892" w:rsidP="00D0679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化學工業概論</w:t>
            </w:r>
            <w:r w:rsidR="006E1500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1AD0" w:rsidP="00D06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</w:t>
            </w:r>
            <w:r w:rsidR="00D06791">
              <w:rPr>
                <w:rFonts w:ascii="標楷體" w:eastAsia="標楷體" w:hint="eastAsia"/>
              </w:rPr>
              <w:t>科三年</w:t>
            </w:r>
            <w:r>
              <w:rPr>
                <w:rFonts w:ascii="標楷體" w:eastAsia="標楷體" w:hint="eastAsia"/>
              </w:rPr>
              <w:t>智</w:t>
            </w:r>
            <w:r w:rsidR="00D06791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1AD0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D06791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3E30BD" w:rsidP="003E30B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施政文</w:t>
            </w:r>
            <w:bookmarkStart w:id="0" w:name="_GoBack"/>
            <w:bookmarkEnd w:id="0"/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EC3892">
              <w:rPr>
                <w:rFonts w:eastAsia="標楷體" w:hint="eastAsia"/>
              </w:rPr>
              <w:t>瞭解化學工業製品的製造程序、方法及用途</w:t>
            </w:r>
            <w:r>
              <w:rPr>
                <w:rFonts w:eastAsia="標楷體" w:hint="eastAsia"/>
              </w:rPr>
              <w:t>。</w:t>
            </w:r>
          </w:p>
          <w:p w:rsidR="00034E51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C3892">
              <w:rPr>
                <w:rFonts w:eastAsia="標楷體" w:hint="eastAsia"/>
              </w:rPr>
              <w:t>瞭解化學工業的發展現況與未來的新興趨勢</w:t>
            </w:r>
            <w:r>
              <w:rPr>
                <w:rFonts w:eastAsia="標楷體" w:hint="eastAsia"/>
              </w:rPr>
              <w:t>。</w:t>
            </w:r>
          </w:p>
          <w:p w:rsidR="00EC3892" w:rsidRPr="00C83920" w:rsidRDefault="00EC3892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認識綠色化學、能資源回收與永續發展的重要性。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化學工業的沿革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化學品工業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石油化學工業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材料工業</w:t>
            </w:r>
          </w:p>
          <w:p w:rsidR="007D0CD1" w:rsidRPr="003A5104" w:rsidRDefault="007D0CD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特用化學品工業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3A5104" w:rsidRDefault="003A5104" w:rsidP="003A5104"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平時測驗：三次</w:t>
            </w:r>
            <w:r>
              <w:rPr>
                <w:rFonts w:ascii="新細明體" w:hint="eastAsia"/>
              </w:rPr>
              <w:t>，</w:t>
            </w:r>
            <w:r>
              <w:rPr>
                <w:rFonts w:eastAsia="標楷體" w:hint="eastAsia"/>
              </w:rPr>
              <w:t>定期考查前一週舉行</w:t>
            </w:r>
            <w:r>
              <w:rPr>
                <w:rFonts w:ascii="標楷體" w:eastAsia="標楷體" w:hint="eastAsia"/>
              </w:rPr>
              <w:t>。每次佔日常考查的</w:t>
            </w:r>
            <w:r>
              <w:rPr>
                <w:rFonts w:ascii="新細明體" w:hint="eastAsia"/>
              </w:rPr>
              <w:t>16.7</w:t>
            </w:r>
            <w:r>
              <w:t>%</w:t>
            </w:r>
            <w:r>
              <w:rPr>
                <w:rFonts w:ascii="新細明體" w:hint="eastAsia"/>
              </w:rPr>
              <w:t>。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隨堂測驗：課堂中臨時性抽問或小考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佔日常考查成績的</w:t>
            </w:r>
            <w:r>
              <w:rPr>
                <w:rFonts w:eastAsia="標楷體" w:hint="eastAsia"/>
              </w:rPr>
              <w:t>16.7%</w:t>
            </w:r>
          </w:p>
          <w:p w:rsidR="00D06791" w:rsidRDefault="003A5104" w:rsidP="003A5104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作業考查或讀書報告：以兩篇為原則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各佔平日成績的</w:t>
            </w:r>
            <w:r>
              <w:rPr>
                <w:rFonts w:eastAsia="標楷體" w:hint="eastAsia"/>
              </w:rPr>
              <w:t>16.7</w:t>
            </w:r>
            <w:r>
              <w:rPr>
                <w:rFonts w:eastAsia="標楷體"/>
              </w:rPr>
              <w:t>%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但報告的滿分為</w:t>
            </w:r>
            <w:r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分</w:t>
            </w:r>
            <w:r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學生應作課前預習及課後複習。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上課記筆記。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上課務必攜帶課本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理論課與實驗課的課本兩本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.習題要自己作不可抄襲。</w:t>
            </w:r>
          </w:p>
          <w:p w:rsidR="003A5104" w:rsidRDefault="003A5104" w:rsidP="003A5104">
            <w:pPr>
              <w:ind w:left="272" w:hanging="2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5.撰寫報告的參考資料，可從各圖書館(公私立、本校或本科)、書店、網路等處蒐集，而有關儀器的規格資料可向儀器商索取。</w:t>
            </w:r>
          </w:p>
          <w:p w:rsidR="00D06791" w:rsidRDefault="003A5104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6.課堂所發的補充資料及考卷要整理裝訂，不可散亂或遺失。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請家長就教學目標及教學評量，督促學生用心複習。</w:t>
            </w:r>
          </w:p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學生習題及報告部分，希望家長督促學生提早寫作，按時繳交。</w:t>
            </w:r>
          </w:p>
          <w:p w:rsidR="003A5104" w:rsidRPr="003C1E7E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定期考試前督促學生專心準備</w:t>
            </w:r>
            <w:r>
              <w:rPr>
                <w:rFonts w:ascii="新細明體" w:hint="eastAsia"/>
              </w:rPr>
              <w:t>。</w:t>
            </w:r>
          </w:p>
          <w:p w:rsidR="00D06791" w:rsidRDefault="003C1E7E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3A5104">
              <w:rPr>
                <w:rFonts w:ascii="標楷體" w:eastAsia="標楷體" w:hint="eastAsia"/>
              </w:rPr>
              <w:t>協助學生找出適合自己的讀書方法</w:t>
            </w:r>
            <w:r w:rsidR="003A5104">
              <w:rPr>
                <w:rFonts w:ascii="新細明體" w:hint="eastAsia"/>
              </w:rPr>
              <w:t>，</w:t>
            </w:r>
            <w:r w:rsidR="003A5104">
              <w:rPr>
                <w:rFonts w:ascii="標楷體" w:eastAsia="標楷體" w:hint="eastAsia"/>
              </w:rPr>
              <w:t>養成良好的讀書習慣</w:t>
            </w:r>
            <w:r w:rsidR="003A5104"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BB0B6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F4" w:rsidRDefault="00B730F4">
      <w:r>
        <w:separator/>
      </w:r>
    </w:p>
  </w:endnote>
  <w:endnote w:type="continuationSeparator" w:id="0">
    <w:p w:rsidR="00B730F4" w:rsidRDefault="00B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F4" w:rsidRDefault="00B730F4">
      <w:r>
        <w:separator/>
      </w:r>
    </w:p>
  </w:footnote>
  <w:footnote w:type="continuationSeparator" w:id="0">
    <w:p w:rsidR="00B730F4" w:rsidRDefault="00B7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321F11"/>
    <w:multiLevelType w:val="hybridMultilevel"/>
    <w:tmpl w:val="F654A25C"/>
    <w:lvl w:ilvl="0" w:tplc="BCF0D1EE">
      <w:start w:val="1"/>
      <w:numFmt w:val="decimal"/>
      <w:lvlText w:val="%1.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04A71"/>
    <w:rsid w:val="00034E51"/>
    <w:rsid w:val="001375F2"/>
    <w:rsid w:val="001829CD"/>
    <w:rsid w:val="001D030E"/>
    <w:rsid w:val="00240E20"/>
    <w:rsid w:val="00246874"/>
    <w:rsid w:val="0027161E"/>
    <w:rsid w:val="002C4E50"/>
    <w:rsid w:val="002E0EF3"/>
    <w:rsid w:val="002F0E8D"/>
    <w:rsid w:val="00302DCD"/>
    <w:rsid w:val="003A5104"/>
    <w:rsid w:val="003C1E7E"/>
    <w:rsid w:val="003D216D"/>
    <w:rsid w:val="003E30BD"/>
    <w:rsid w:val="0047565D"/>
    <w:rsid w:val="004A00BC"/>
    <w:rsid w:val="004C4265"/>
    <w:rsid w:val="005279B0"/>
    <w:rsid w:val="00566FDA"/>
    <w:rsid w:val="006E1500"/>
    <w:rsid w:val="006F7D70"/>
    <w:rsid w:val="007559DE"/>
    <w:rsid w:val="00773F12"/>
    <w:rsid w:val="00781BD4"/>
    <w:rsid w:val="007A2367"/>
    <w:rsid w:val="007D0CD1"/>
    <w:rsid w:val="007D173F"/>
    <w:rsid w:val="0085417A"/>
    <w:rsid w:val="009312F6"/>
    <w:rsid w:val="009D131C"/>
    <w:rsid w:val="00A85160"/>
    <w:rsid w:val="00B730F4"/>
    <w:rsid w:val="00BB0B64"/>
    <w:rsid w:val="00C07CEB"/>
    <w:rsid w:val="00C83920"/>
    <w:rsid w:val="00C8660B"/>
    <w:rsid w:val="00CC1D11"/>
    <w:rsid w:val="00D01AD0"/>
    <w:rsid w:val="00D06791"/>
    <w:rsid w:val="00D2776A"/>
    <w:rsid w:val="00D61A5F"/>
    <w:rsid w:val="00DB31E0"/>
    <w:rsid w:val="00DE15DD"/>
    <w:rsid w:val="00DE5DC6"/>
    <w:rsid w:val="00E669EB"/>
    <w:rsid w:val="00E960EE"/>
    <w:rsid w:val="00EC3892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304324E"/>
  <w15:docId w15:val="{0A21075A-E845-402E-B1A4-55CBA10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Company>輔導室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2017-08-27T11:56:00Z</dcterms:created>
  <dcterms:modified xsi:type="dcterms:W3CDTF">2017-08-27T11:56:00Z</dcterms:modified>
</cp:coreProperties>
</file>